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75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55"/>
        <w:gridCol w:w="2835"/>
        <w:gridCol w:w="4890"/>
        <w:gridCol w:w="255"/>
        <w:tblGridChange w:id="0">
          <w:tblGrid>
            <w:gridCol w:w="2955"/>
            <w:gridCol w:w="2835"/>
            <w:gridCol w:w="4890"/>
            <w:gridCol w:w="255"/>
          </w:tblGrid>
        </w:tblGridChange>
      </w:tblGrid>
      <w:tr>
        <w:trPr>
          <w:cantSplit w:val="0"/>
          <w:trHeight w:val="603.98437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708" w:right="0" w:hanging="708"/>
              <w:jc w:val="center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CARACTERIZACIÓN DEL PROCESO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0000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center" w:pos="2992"/>
              </w:tabs>
              <w:ind w:left="708" w:hanging="708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NOMBRE:  GESTIÓN ESTRATÉGICA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4" w:hRule="atLeast"/>
          <w:tblHeader w:val="0"/>
        </w:trPr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ind w:left="708" w:hanging="708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OBJETIVO: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Establecer los lineamientos estratégicos, para garantizar la prestación de los servicios notariales, con eficiencia, agilidad y eficacia.  </w:t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ind w:left="708" w:hanging="708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ALCANCE: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Aplica desde la definición de los objetivos, enfocados a lograr la excelencia en la prestación de los servicios notariales, hasta la verificación del cumplimiento de los mismos.</w:t>
            </w:r>
          </w:p>
          <w:p w:rsidR="00000000" w:rsidDel="00000000" w:rsidP="00000000" w:rsidRDefault="00000000" w:rsidRPr="00000000" w14:paraId="0000000C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3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ind w:left="708" w:hanging="708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RESPONSABLE: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 de Gestión Estratégica (Notario)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1">
            <w:pPr>
              <w:ind w:left="708" w:hanging="708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PARTICIPANTES: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Líderes de proceso, personal en general.</w:t>
            </w:r>
          </w:p>
          <w:p w:rsidR="00000000" w:rsidDel="00000000" w:rsidP="00000000" w:rsidRDefault="00000000" w:rsidRPr="00000000" w14:paraId="00000013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ind w:left="708" w:hanging="708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FACTORES CLAVES DE ÉXITO: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708" w:hanging="708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Competencia del personal: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(educación, formación, habilidades y experiencia)</w:t>
            </w:r>
          </w:p>
          <w:p w:rsidR="00000000" w:rsidDel="00000000" w:rsidP="00000000" w:rsidRDefault="00000000" w:rsidRPr="00000000" w14:paraId="00000018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Amabilidad: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tención diferencial, con un trato amable hacia el usuario</w:t>
            </w:r>
          </w:p>
          <w:p w:rsidR="00000000" w:rsidDel="00000000" w:rsidP="00000000" w:rsidRDefault="00000000" w:rsidRPr="00000000" w14:paraId="00000019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Recursos: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dentificar, suministrar y gestionar adecuadamente los recursos necesarios para la prestación de los servicios notariales</w:t>
            </w:r>
          </w:p>
          <w:p w:rsidR="00000000" w:rsidDel="00000000" w:rsidP="00000000" w:rsidRDefault="00000000" w:rsidRPr="00000000" w14:paraId="0000001A">
            <w:pPr>
              <w:ind w:left="708" w:hanging="708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Liderazgo: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Cultura organizacional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(Trabajo en equipo, Foco en el Cliente, Responsabilidad, Actitud hacia el cambio)  </w:t>
            </w:r>
          </w:p>
          <w:p w:rsidR="00000000" w:rsidDel="00000000" w:rsidP="00000000" w:rsidRDefault="00000000" w:rsidRPr="00000000" w14:paraId="0000001C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ind w:left="708" w:hanging="708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SEGUIMIENTO: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1"/>
              <w:ind w:left="708" w:hanging="708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Comités operativos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 Seguimientos a planes operativos, quejas y reclamos, indicadores de gestión, seguimiento a satisfacción de usuarios, acciones  correctivas, preventivas y de mejora.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Comités Estratégicos (revisión por la dirección)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 seguimiento al cumplimiento de los objetivos, revisión por la dirección, seguimiento al cuadro de mando integrado, seguimiento a los factores claves de éxito, seguimiento a los líderes de procesos.</w:t>
            </w:r>
          </w:p>
        </w:tc>
      </w:tr>
      <w:tr>
        <w:trPr>
          <w:cantSplit w:val="1"/>
          <w:trHeight w:val="1777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ind w:left="708" w:hanging="708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ACTIVIDADES PRINCIPALES: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:Definir plan estratégico  y objetivos </w:t>
            </w:r>
          </w:p>
          <w:p w:rsidR="00000000" w:rsidDel="00000000" w:rsidP="00000000" w:rsidRDefault="00000000" w:rsidRPr="00000000" w14:paraId="00000025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Traducir y alinear estrategias y objetivos</w:t>
            </w:r>
          </w:p>
          <w:p w:rsidR="00000000" w:rsidDel="00000000" w:rsidP="00000000" w:rsidRDefault="00000000" w:rsidRPr="00000000" w14:paraId="00000026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Hacer planeación operativa  y de procesos.</w:t>
            </w:r>
          </w:p>
          <w:p w:rsidR="00000000" w:rsidDel="00000000" w:rsidP="00000000" w:rsidRDefault="00000000" w:rsidRPr="00000000" w14:paraId="00000027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 Ejecutar  Estrategias</w:t>
            </w:r>
          </w:p>
          <w:p w:rsidR="00000000" w:rsidDel="00000000" w:rsidP="00000000" w:rsidRDefault="00000000" w:rsidRPr="00000000" w14:paraId="00000028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V: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.Hacer Seguimiento a planes operativos  y de procesos</w:t>
            </w:r>
          </w:p>
          <w:p w:rsidR="00000000" w:rsidDel="00000000" w:rsidP="00000000" w:rsidRDefault="00000000" w:rsidRPr="00000000" w14:paraId="00000029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Hacer seguimiento a la estrategia</w:t>
            </w:r>
          </w:p>
          <w:p w:rsidR="00000000" w:rsidDel="00000000" w:rsidP="00000000" w:rsidRDefault="00000000" w:rsidRPr="00000000" w14:paraId="0000002A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 Ajustar plan estratégico</w:t>
            </w:r>
          </w:p>
        </w:tc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ind w:left="708" w:hanging="708"/>
              <w:rPr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REQUISITOS: </w:t>
            </w:r>
          </w:p>
          <w:p w:rsidR="00000000" w:rsidDel="00000000" w:rsidP="00000000" w:rsidRDefault="00000000" w:rsidRPr="00000000" w14:paraId="0000002F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Leyes, Decretos, Resoluciones, Instrucciones, Circulares, etc.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708" w:hanging="708"/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708" w:hanging="708"/>
              <w:rPr>
                <w:sz w:val="22"/>
                <w:szCs w:val="22"/>
              </w:rPr>
            </w:pPr>
            <w:bookmarkStart w:colFirst="0" w:colLast="0" w:name="_heading=h.chmaywnql9fb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708" w:hanging="708"/>
              <w:rPr>
                <w:sz w:val="22"/>
                <w:szCs w:val="22"/>
              </w:rPr>
            </w:pPr>
            <w:bookmarkStart w:colFirst="0" w:colLast="0" w:name="_heading=h.vumn5b8dsfd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708" w:hanging="708"/>
              <w:rPr>
                <w:sz w:val="22"/>
                <w:szCs w:val="22"/>
              </w:rPr>
            </w:pPr>
            <w:bookmarkStart w:colFirst="0" w:colLast="0" w:name="_heading=h.v9bx9vud0awr" w:id="3"/>
            <w:bookmarkEnd w:id="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ind w:left="708" w:hanging="708"/>
              <w:rPr>
                <w:sz w:val="22"/>
                <w:szCs w:val="22"/>
              </w:rPr>
            </w:pPr>
            <w:bookmarkStart w:colFirst="0" w:colLast="0" w:name="_heading=h.rsid741icuzq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708" w:hanging="708"/>
              <w:rPr>
                <w:sz w:val="22"/>
                <w:szCs w:val="22"/>
              </w:rPr>
            </w:pPr>
            <w:bookmarkStart w:colFirst="0" w:colLast="0" w:name="_heading=h.7375l1q1ytxs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708" w:hanging="708"/>
              <w:rPr>
                <w:sz w:val="22"/>
                <w:szCs w:val="22"/>
              </w:rPr>
            </w:pPr>
            <w:bookmarkStart w:colFirst="0" w:colLast="0" w:name="_heading=h.4x2314stavok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708" w:hanging="708"/>
              <w:rPr>
                <w:sz w:val="22"/>
                <w:szCs w:val="22"/>
              </w:rPr>
            </w:pPr>
            <w:bookmarkStart w:colFirst="0" w:colLast="0" w:name="_heading=h.cc868sw8c42r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708" w:hanging="708"/>
              <w:rPr>
                <w:sz w:val="22"/>
                <w:szCs w:val="22"/>
              </w:rPr>
            </w:pPr>
            <w:bookmarkStart w:colFirst="0" w:colLast="0" w:name="_heading=h.yphc47pwywd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ind w:left="0" w:firstLine="0"/>
              <w:rPr>
                <w:sz w:val="22"/>
                <w:szCs w:val="22"/>
              </w:rPr>
            </w:pPr>
            <w:bookmarkStart w:colFirst="0" w:colLast="0" w:name="_heading=h.y32lu6mtfq9c" w:id="9"/>
            <w:bookmarkEnd w:id="9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C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RECURSOS: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(Humano y Infraestructura)</w:t>
            </w:r>
          </w:p>
          <w:p w:rsidR="00000000" w:rsidDel="00000000" w:rsidP="00000000" w:rsidRDefault="00000000" w:rsidRPr="00000000" w14:paraId="0000003D">
            <w:pPr>
              <w:widowControl w:val="1"/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bookmarkStart w:colFirst="0" w:colLast="0" w:name="_heading=h.30j0zll" w:id="10"/>
            <w:bookmarkEnd w:id="10"/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Humanos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: Ver Estructura Organizacional por procesos. </w:t>
              <w:br w:type="textWrapping"/>
            </w:r>
          </w:p>
          <w:p w:rsidR="00000000" w:rsidDel="00000000" w:rsidP="00000000" w:rsidRDefault="00000000" w:rsidRPr="00000000" w14:paraId="0000003E">
            <w:pPr>
              <w:widowControl w:val="1"/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Infraestructura: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Hardware, Software, Red, Sala de reuniones, Internet, intranet.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040">
            <w:pPr>
              <w:ind w:lef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PROVEEDOR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041">
            <w:pPr>
              <w:ind w:left="708" w:hanging="708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ENTRADAS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ind w:left="708" w:hanging="708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SALIDAS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top"/>
          </w:tcPr>
          <w:p w:rsidR="00000000" w:rsidDel="00000000" w:rsidP="00000000" w:rsidRDefault="00000000" w:rsidRPr="00000000" w14:paraId="00000043">
            <w:pPr>
              <w:ind w:lef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78.828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numPr>
                <w:ilvl w:val="0"/>
                <w:numId w:val="2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Superintendencia de Notariado y registro</w:t>
            </w:r>
          </w:p>
          <w:p w:rsidR="00000000" w:rsidDel="00000000" w:rsidP="00000000" w:rsidRDefault="00000000" w:rsidRPr="00000000" w14:paraId="00000045">
            <w:pPr>
              <w:widowControl w:val="1"/>
              <w:ind w:lef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Marco Legal (Decretos, Resoluciones, Circulares, instructivos, comunicaciones)</w:t>
            </w:r>
          </w:p>
          <w:p w:rsidR="00000000" w:rsidDel="00000000" w:rsidP="00000000" w:rsidRDefault="00000000" w:rsidRPr="00000000" w14:paraId="00000047">
            <w:pPr>
              <w:widowControl w:val="1"/>
              <w:ind w:lef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ind w:left="708" w:hanging="708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Plan Estratégico (Misión, Visión, Política de calidad, Objetivos, Estrategias)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9">
            <w:pPr>
              <w:widowControl w:val="1"/>
              <w:ind w:left="0" w:firstLine="0"/>
              <w:jc w:val="left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06.95312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widowControl w:val="1"/>
              <w:numPr>
                <w:ilvl w:val="0"/>
                <w:numId w:val="2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Oficina de Instrumentos Públicos</w:t>
            </w:r>
          </w:p>
          <w:p w:rsidR="00000000" w:rsidDel="00000000" w:rsidP="00000000" w:rsidRDefault="00000000" w:rsidRPr="00000000" w14:paraId="0000004B">
            <w:pPr>
              <w:widowControl w:val="1"/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widowControl w:val="1"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Información del inmueble para la elaboración de la escritura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ind w:left="708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Estructura Organizacional por procesos</w:t>
            </w:r>
          </w:p>
          <w:p w:rsidR="00000000" w:rsidDel="00000000" w:rsidP="00000000" w:rsidRDefault="00000000" w:rsidRPr="00000000" w14:paraId="0000004E">
            <w:pPr>
              <w:ind w:left="7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Catastro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widowControl w:val="1"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Expedición de documentos para autorización de escritura (paz y salvo de impuesto predial y valorización,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y Departamentales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53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ind w:left="7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Cuadro integrado de mando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secretaria de control urbano e infraestructura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widowControl w:val="1"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Licencias de construcción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widowControl w:val="1"/>
              <w:ind w:left="7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1"/>
              <w:ind w:left="708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Lineamientos para la operación de cada proceso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5.93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3"/>
              </w:numPr>
              <w:ind w:left="708" w:hanging="708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Usuarios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widowControl w:val="1"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Necesidades y expectativas del usuario</w:t>
            </w:r>
          </w:p>
          <w:p w:rsidR="00000000" w:rsidDel="00000000" w:rsidP="00000000" w:rsidRDefault="00000000" w:rsidRPr="00000000" w14:paraId="0000005E">
            <w:pPr>
              <w:widowControl w:val="1"/>
              <w:numPr>
                <w:ilvl w:val="0"/>
                <w:numId w:val="3"/>
              </w:num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Información para la prestación del servicio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widowControl w:val="1"/>
              <w:ind w:left="7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Control de legalidad</w:t>
            </w:r>
          </w:p>
          <w:p w:rsidR="00000000" w:rsidDel="00000000" w:rsidP="00000000" w:rsidRDefault="00000000" w:rsidRPr="00000000" w14:paraId="00000060">
            <w:pPr>
              <w:ind w:left="708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shd w:fill="ff0000" w:val="clear"/>
            <w:vAlign w:val="top"/>
          </w:tcPr>
          <w:p w:rsidR="00000000" w:rsidDel="00000000" w:rsidP="00000000" w:rsidRDefault="00000000" w:rsidRPr="00000000" w14:paraId="00000062">
            <w:pPr>
              <w:ind w:left="708" w:hanging="708"/>
              <w:jc w:val="center"/>
              <w:rPr>
                <w:b w:val="0"/>
                <w:sz w:val="22"/>
                <w:szCs w:val="22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66">
            <w:pPr>
              <w:ind w:left="708" w:hanging="708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1"/>
        <w:ind w:left="0" w:firstLine="0"/>
        <w:jc w:val="left"/>
        <w:rPr>
          <w:sz w:val="22"/>
          <w:szCs w:val="22"/>
          <w:vertAlign w:val="baseline"/>
        </w:rPr>
      </w:pPr>
      <w:bookmarkStart w:colFirst="0" w:colLast="0" w:name="_heading=h.1fob9te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1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1"/>
        <w:ind w:left="36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1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1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1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1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4"/>
        </w:numPr>
        <w:ind w:left="360" w:hanging="36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CONTENIDO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-7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1815"/>
        <w:gridCol w:w="6465"/>
        <w:tblGridChange w:id="0">
          <w:tblGrid>
            <w:gridCol w:w="2700"/>
            <w:gridCol w:w="1815"/>
            <w:gridCol w:w="6465"/>
          </w:tblGrid>
        </w:tblGridChange>
      </w:tblGrid>
      <w:tr>
        <w:trPr>
          <w:cantSplit w:val="0"/>
          <w:trHeight w:val="300" w:hRule="atLeast"/>
          <w:tblHeader w:val="1"/>
        </w:trPr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7B">
            <w:pPr>
              <w:spacing w:after="60" w:before="6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ACTIVIDADES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7C">
            <w:pPr>
              <w:spacing w:after="60" w:before="6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RESPONSABLE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0000" w:val="clear"/>
            <w:vAlign w:val="center"/>
          </w:tcPr>
          <w:p w:rsidR="00000000" w:rsidDel="00000000" w:rsidP="00000000" w:rsidRDefault="00000000" w:rsidRPr="00000000" w14:paraId="0000007D">
            <w:pPr>
              <w:spacing w:after="60" w:before="6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Definir Plan Estratégico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Notario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Cada año y de acuerdo con los cambios presentados a nivel interno y externo se actualiza el Plan Estratégico el cual Incluye por lo menos la siguiente información:</w:t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-Misión</w:t>
            </w:r>
          </w:p>
          <w:p w:rsidR="00000000" w:rsidDel="00000000" w:rsidP="00000000" w:rsidRDefault="00000000" w:rsidRPr="00000000" w14:paraId="0000008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-Visión</w:t>
            </w:r>
          </w:p>
          <w:p w:rsidR="00000000" w:rsidDel="00000000" w:rsidP="00000000" w:rsidRDefault="00000000" w:rsidRPr="00000000" w14:paraId="00000084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-Política de calidad</w:t>
            </w:r>
          </w:p>
          <w:p w:rsidR="00000000" w:rsidDel="00000000" w:rsidP="00000000" w:rsidRDefault="00000000" w:rsidRPr="00000000" w14:paraId="00000085">
            <w:pPr>
              <w:rPr>
                <w:sz w:val="22"/>
                <w:szCs w:val="22"/>
                <w:vertAlign w:val="baseline"/>
              </w:rPr>
            </w:pPr>
            <w:bookmarkStart w:colFirst="0" w:colLast="0" w:name="_heading=h.3znysh7" w:id="12"/>
            <w:bookmarkEnd w:id="12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-Objetivos Estratégicos</w:t>
              <w:br w:type="textWrapping"/>
            </w:r>
          </w:p>
          <w:p w:rsidR="00000000" w:rsidDel="00000000" w:rsidP="00000000" w:rsidRDefault="00000000" w:rsidRPr="00000000" w14:paraId="00000086">
            <w:pPr>
              <w:rPr>
                <w:sz w:val="22"/>
                <w:szCs w:val="22"/>
                <w:vertAlign w:val="baseline"/>
              </w:rPr>
            </w:pPr>
            <w:bookmarkStart w:colFirst="0" w:colLast="0" w:name="_heading=h.2et92p0" w:id="13"/>
            <w:bookmarkEnd w:id="13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-Mapa de Procesos </w:t>
              <w:br w:type="textWrapping"/>
            </w:r>
          </w:p>
          <w:p w:rsidR="00000000" w:rsidDel="00000000" w:rsidP="00000000" w:rsidRDefault="00000000" w:rsidRPr="00000000" w14:paraId="0000008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Alinear Objetivos y definir Indicadores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1"/>
              <w:spacing w:after="60" w:before="60" w:lineRule="auto"/>
              <w:ind w:left="1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Líderes de Procesos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1"/>
              <w:spacing w:after="60" w:before="60" w:lineRule="auto"/>
              <w:ind w:left="1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 base en los objetivos estratégicos cada líder de procesos  junto con su equipo de trabajo define los objetivos y las estrategias para su logro.</w:t>
            </w:r>
          </w:p>
          <w:p w:rsidR="00000000" w:rsidDel="00000000" w:rsidP="00000000" w:rsidRDefault="00000000" w:rsidRPr="00000000" w14:paraId="0000008C">
            <w:pPr>
              <w:widowControl w:val="1"/>
              <w:spacing w:after="60" w:before="60" w:lineRule="auto"/>
              <w:ind w:left="10" w:firstLine="0"/>
              <w:rPr>
                <w:sz w:val="22"/>
                <w:szCs w:val="22"/>
                <w:vertAlign w:val="baseline"/>
              </w:rPr>
            </w:pPr>
            <w:bookmarkStart w:colFirst="0" w:colLast="0" w:name="_heading=h.tyjcwt" w:id="14"/>
            <w:bookmarkEnd w:id="14"/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8D">
            <w:pPr>
              <w:widowControl w:val="1"/>
              <w:spacing w:after="60" w:before="60" w:lineRule="auto"/>
              <w:ind w:left="1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1"/>
              <w:spacing w:after="60" w:before="60" w:lineRule="auto"/>
              <w:ind w:left="10" w:firstLine="0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Planear los procesos y la Operación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widowControl w:val="1"/>
              <w:spacing w:after="60" w:before="60" w:lineRule="auto"/>
              <w:ind w:left="1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Líderes de Procesos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 base en los objetivos y estrategias definidos, cada líder de proceso junto con su equipo de trabajo define las actividades a desarrollar para su logro.</w:t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Difundir Plan estratégico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spacing w:after="60" w:before="60" w:lineRule="auto"/>
              <w:ind w:left="10" w:firstLine="0"/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Líderes de Procesos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 el fin de garantizar que todo el personal conozca y participe del logro del Plan estratégico, cada líder es responsable de hacer difusión tal como se establece la Matriz de Comunicaciones incluida en las condiciones generales del presente documento.</w:t>
            </w:r>
          </w:p>
          <w:p w:rsidR="00000000" w:rsidDel="00000000" w:rsidP="00000000" w:rsidRDefault="00000000" w:rsidRPr="00000000" w14:paraId="00000097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Ejecutar estrategias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Líderes de Procesos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widowControl w:val="1"/>
              <w:spacing w:after="60"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Cada líder de proceso es responsable de ejecutar las estrategias y actividades definidas.</w:t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Hacer Seguimiento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Comité Operativo.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widowControl w:val="1"/>
              <w:spacing w:after="60"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hace seguimiento a las actividades en el comité operativo tal como se establece en las condiciones generales del presente documento.</w:t>
            </w:r>
          </w:p>
          <w:p w:rsidR="00000000" w:rsidDel="00000000" w:rsidP="00000000" w:rsidRDefault="00000000" w:rsidRPr="00000000" w14:paraId="000000A2">
            <w:pPr>
              <w:widowControl w:val="1"/>
              <w:spacing w:after="60"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1"/>
              <w:spacing w:after="60"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Hacer seguimiento a la Estrategia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Comité estratégico.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widowControl w:val="1"/>
              <w:spacing w:after="60"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hace seguimiento al Plan Estratégico en el comité estratégico.</w:t>
            </w:r>
          </w:p>
          <w:p w:rsidR="00000000" w:rsidDel="00000000" w:rsidP="00000000" w:rsidRDefault="00000000" w:rsidRPr="00000000" w14:paraId="000000A7">
            <w:pPr>
              <w:widowControl w:val="1"/>
              <w:spacing w:after="60" w:before="60" w:lineRule="auto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Planear las entradas para la Revisión por la dirección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 del proceso de Gestión Estratégica Y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Líderes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de procesos.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widowControl w:val="1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Finalizando el año los líderes de proceso presentan a la Notaría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toda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la información necesaria para la revisión por la dirección y la evaluación de los logros alcanzados (estado de revisiones anteriores, resultados de auditorías, quejas y reclamos, informe de satisfacción del cliente,  indicadores e informes de gestión, acciones correctivas y preventivas, informe de revisión política y objetivos de calidad, cambios que podrían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fectar.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1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Realizar la Revisión general por la Dirección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Líder del proceso de Gestión Estratégica Líderes de procesos.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widowControl w:val="1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Se cita a reunión a los líderes de proceso, se hace la Revisión general del sistema de gestión.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5840" w:w="12240" w:orient="portrait"/>
      <w:pgMar w:bottom="1134" w:top="314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spacing w:line="276" w:lineRule="auto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3"/>
      <w:tblW w:w="10231.0" w:type="dxa"/>
      <w:jc w:val="left"/>
      <w:tblInd w:w="-497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775"/>
      <w:gridCol w:w="3345"/>
      <w:gridCol w:w="4111"/>
      <w:tblGridChange w:id="0">
        <w:tblGrid>
          <w:gridCol w:w="2775"/>
          <w:gridCol w:w="3345"/>
          <w:gridCol w:w="4111"/>
        </w:tblGrid>
      </w:tblGridChange>
    </w:tblGrid>
    <w:tr>
      <w:trPr>
        <w:cantSplit w:val="0"/>
        <w:trHeight w:val="213" w:hRule="atLeast"/>
        <w:tblHeader w:val="0"/>
      </w:trPr>
      <w:tc>
        <w:tcPr>
          <w:vMerge w:val="restart"/>
          <w:tcBorders>
            <w:top w:color="000000" w:space="0" w:sz="24" w:val="single"/>
            <w:left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B2">
          <w:pPr>
            <w:widowControl w:val="1"/>
            <w:tabs>
              <w:tab w:val="center" w:pos="4419"/>
              <w:tab w:val="right" w:pos="8838"/>
            </w:tabs>
            <w:ind w:left="317" w:firstLine="0"/>
            <w:jc w:val="left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209550</wp:posOffset>
                </wp:positionV>
                <wp:extent cx="1628775" cy="533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B3">
          <w:pPr>
            <w:widowControl w:val="1"/>
            <w:tabs>
              <w:tab w:val="center" w:pos="4419"/>
              <w:tab w:val="right" w:pos="8838"/>
            </w:tabs>
            <w:ind w:left="317" w:firstLine="0"/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widowControl w:val="1"/>
            <w:tabs>
              <w:tab w:val="center" w:pos="4419"/>
              <w:tab w:val="right" w:pos="8838"/>
            </w:tabs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5">
          <w:pPr>
            <w:widowControl w:val="1"/>
            <w:tabs>
              <w:tab w:val="center" w:pos="4419"/>
              <w:tab w:val="right" w:pos="8838"/>
            </w:tabs>
            <w:jc w:val="center"/>
            <w:rPr>
              <w:rFonts w:ascii="Calibri" w:cs="Calibri" w:eastAsia="Calibri" w:hAnsi="Calibri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  <w:shd w:fill="ff0000" w:val="clear"/>
        </w:tcPr>
        <w:p w:rsidR="00000000" w:rsidDel="00000000" w:rsidP="00000000" w:rsidRDefault="00000000" w:rsidRPr="00000000" w14:paraId="000000B6">
          <w:pPr>
            <w:widowControl w:val="1"/>
            <w:tabs>
              <w:tab w:val="center" w:pos="4419"/>
              <w:tab w:val="right" w:pos="8838"/>
              <w:tab w:val="left" w:pos="2253"/>
            </w:tabs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GESTIÓN SERVICIOS NOTARIALES </w:t>
          </w:r>
        </w:p>
      </w:tc>
    </w:tr>
    <w:tr>
      <w:trPr>
        <w:cantSplit w:val="0"/>
        <w:trHeight w:val="313" w:hRule="atLeast"/>
        <w:tblHeader w:val="0"/>
      </w:trPr>
      <w:tc>
        <w:tcPr>
          <w:vMerge w:val="continue"/>
          <w:tcBorders>
            <w:top w:color="000000" w:space="0" w:sz="24" w:val="single"/>
            <w:left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B8">
          <w:pPr>
            <w:spacing w:line="276" w:lineRule="auto"/>
            <w:jc w:val="left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B9">
          <w:pPr>
            <w:widowControl w:val="1"/>
            <w:tabs>
              <w:tab w:val="center" w:pos="4419"/>
              <w:tab w:val="right" w:pos="8838"/>
            </w:tabs>
            <w:jc w:val="center"/>
            <w:rPr>
              <w:b w:val="1"/>
              <w:sz w:val="24"/>
              <w:szCs w:val="24"/>
            </w:rPr>
          </w:pPr>
          <w:r w:rsidDel="00000000" w:rsidR="00000000" w:rsidRPr="00000000">
            <w:rPr>
              <w:b w:val="1"/>
              <w:sz w:val="24"/>
              <w:szCs w:val="24"/>
              <w:rtl w:val="0"/>
            </w:rPr>
            <w:t xml:space="preserve">PROCESO GESTION ESTRATEGICA</w:t>
          </w:r>
        </w:p>
      </w:tc>
    </w:tr>
    <w:tr>
      <w:trPr>
        <w:cantSplit w:val="0"/>
        <w:trHeight w:val="672" w:hRule="atLeast"/>
        <w:tblHeader w:val="0"/>
      </w:trPr>
      <w:tc>
        <w:tcPr>
          <w:vMerge w:val="continue"/>
          <w:tcBorders>
            <w:top w:color="000000" w:space="0" w:sz="24" w:val="single"/>
            <w:left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BB">
          <w:pPr>
            <w:spacing w:line="276" w:lineRule="auto"/>
            <w:jc w:val="left"/>
            <w:rPr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BC">
          <w:pPr>
            <w:widowControl w:val="1"/>
            <w:spacing w:after="160" w:line="259" w:lineRule="auto"/>
            <w:jc w:val="left"/>
            <w:rPr/>
          </w:pPr>
          <w:r w:rsidDel="00000000" w:rsidR="00000000" w:rsidRPr="00000000">
            <w:rPr>
              <w:b w:val="1"/>
              <w:rtl w:val="0"/>
            </w:rPr>
            <w:t xml:space="preserve">PÁGINA:</w:t>
          </w:r>
          <w:r w:rsidDel="00000000" w:rsidR="00000000" w:rsidRPr="00000000">
            <w:rPr>
              <w:b w:val="1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  <w:t xml:space="preserve"> DE 3</w:t>
          </w:r>
        </w:p>
      </w:tc>
      <w:tc>
        <w:tcPr>
          <w:tcBorders>
            <w:top w:color="000000" w:space="0" w:sz="24" w:val="single"/>
            <w:left w:color="000000" w:space="0" w:sz="24" w:val="single"/>
            <w:bottom w:color="000000" w:space="0" w:sz="24" w:val="single"/>
            <w:right w:color="000000" w:space="0" w:sz="24" w:val="single"/>
          </w:tcBorders>
        </w:tcPr>
        <w:p w:rsidR="00000000" w:rsidDel="00000000" w:rsidP="00000000" w:rsidRDefault="00000000" w:rsidRPr="00000000" w14:paraId="000000BD">
          <w:pPr>
            <w:widowControl w:val="1"/>
            <w:spacing w:after="160" w:line="259" w:lineRule="auto"/>
            <w:jc w:val="left"/>
            <w:rPr>
              <w:b w:val="1"/>
            </w:rPr>
          </w:pPr>
          <w:r w:rsidDel="00000000" w:rsidR="00000000" w:rsidRPr="00000000">
            <w:rPr>
              <w:b w:val="1"/>
              <w:rtl w:val="0"/>
            </w:rPr>
            <w:t xml:space="preserve">VERSIÓN: </w:t>
          </w:r>
          <w:r w:rsidDel="00000000" w:rsidR="00000000" w:rsidRPr="00000000">
            <w:rPr>
              <w:rtl w:val="0"/>
            </w:rPr>
            <w:t xml:space="preserve">002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E">
          <w:pPr>
            <w:widowControl w:val="1"/>
            <w:spacing w:line="259" w:lineRule="auto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F">
    <w:pPr>
      <w:widowControl w:val="1"/>
      <w:tabs>
        <w:tab w:val="center" w:pos="4419"/>
        <w:tab w:val="right" w:pos="8838"/>
      </w:tabs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both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1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2">
    <w:pPr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70" w:hanging="17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1"/>
      </w:numPr>
      <w:suppressAutoHyphens w:val="1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Cs w:val="1"/>
      <w:caps w:val="1"/>
      <w:w w:val="100"/>
      <w:kern w:val="32"/>
      <w:position w:val="-1"/>
      <w:szCs w:val="24"/>
      <w:effect w:val="none"/>
      <w:vertAlign w:val="baseline"/>
      <w:cs w:val="0"/>
      <w:em w:val="none"/>
      <w:lang w:bidi="ar-SA" w:eastAsia="es-CO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widowControl w:val="0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hAnsi="Arial"/>
      <w:b w:val="1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widowControl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widowControl w:val="0"/>
      <w:suppressAutoHyphens w:val="1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Calibri" w:eastAsia="SimSu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1"/>
      <w:spacing w:after="60" w:before="6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s-CO" w:val="es-ES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widowControl w:val="0"/>
      <w:shd w:color="ffffff" w:fill="ffff00" w:val="pct7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es-CO" w:val="en-U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CO" w:val="es-ES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widowControl w:val="0"/>
      <w:suppressAutoHyphens w:val="1"/>
      <w:spacing w:after="120" w:line="1" w:lineRule="atLeast"/>
      <w:ind w:left="283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3">
    <w:name w:val="Texto independiente 3"/>
    <w:basedOn w:val="Normal"/>
    <w:next w:val="Textoindependiente3"/>
    <w:autoRedefine w:val="0"/>
    <w:hidden w:val="0"/>
    <w:qFormat w:val="0"/>
    <w:pPr>
      <w:widowControl w:val="0"/>
      <w:suppressAutoHyphens w:val="1"/>
      <w:spacing w:after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es-CO" w:val="es-ES"/>
    </w:rPr>
  </w:style>
  <w:style w:type="character" w:styleId="Textoindependiente3Car">
    <w:name w:val="Texto independiente 3 Car"/>
    <w:next w:val="Textoindependiente3Car"/>
    <w:autoRedefine w:val="0"/>
    <w:hidden w:val="0"/>
    <w:qFormat w:val="0"/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es-CO" w:val="es-ES"/>
    </w:rPr>
  </w:style>
  <w:style w:type="character" w:styleId="Título7Car">
    <w:name w:val="Título 7 Car"/>
    <w:next w:val="Título7Car"/>
    <w:autoRedefine w:val="0"/>
    <w:hidden w:val="0"/>
    <w:qFormat w:val="0"/>
    <w:rPr>
      <w:rFonts w:ascii="Calibri" w:eastAsia="SimSu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es-CO" w:val="es-ES"/>
    </w:rPr>
  </w:style>
  <w:style w:type="paragraph" w:styleId="Sangría2det.independiente">
    <w:name w:val="Sangría 2 de t. independiente"/>
    <w:basedOn w:val="Normal"/>
    <w:next w:val="Sangría2det.independiente"/>
    <w:autoRedefine w:val="0"/>
    <w:hidden w:val="0"/>
    <w:qFormat w:val="0"/>
    <w:pPr>
      <w:widowControl w:val="0"/>
      <w:suppressAutoHyphens w:val="1"/>
      <w:spacing w:after="120" w:line="480" w:lineRule="auto"/>
      <w:ind w:left="283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character" w:styleId="Sangría2det.independienteCar">
    <w:name w:val="Sangría 2 de t. independiente Car"/>
    <w:next w:val="Sangría2det.independienteC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0"/>
      <w:suppressAutoHyphens w:val="1"/>
      <w:spacing w:line="1" w:lineRule="atLeast"/>
      <w:ind w:left="708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es-CO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LpTsRjVoSgSSDinVPdbgeDepA==">AMUW2mUGWL0vLOWUrRgETwczuX/dbXTj9fFXX/x3yQo50mbYmVofO+rQpRV+nppfJYqjCbaJqtmQ7NqCbWQYu+rt7/smUMXDm69E3G9Pf0ydMc7ylM7lURQz6q3qOMVT0x3+r778VvcmgnuETdnsg/xeNEb7UBAqY8EbG3jBEcVUPgTy5FEQoC6db/u3v8wlmI+i5+dos3Rzz+OOnzLjjvwU3QDRpchPxEEez2zKaJcF2Oee9grH5Cj8jR9UDw6TMqbYH39gYtqHMHkWNznERZg+UHZCLW4Zs+rXOboPbwcbGnsQ2UKB0G96+LTyztNJrkA6b/jGS1AxQtwR3R0Q5DCbM50+F4VPKe+fPa0zO/GwKzC+Y8F6kRfwOT63Qh0L261GkBv7Wgm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2011-05-27T14:17:00Z</dcterms:created>
  <dc:creator>Estacion2</dc:creator>
</cp:coreProperties>
</file>